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8F2B" w14:textId="59C57D33" w:rsidR="0055556B" w:rsidRPr="00F92F21" w:rsidRDefault="00D125F0" w:rsidP="001E77E3">
      <w:pPr>
        <w:spacing w:after="177" w:line="259" w:lineRule="auto"/>
        <w:ind w:lef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drawing>
          <wp:inline distT="0" distB="0" distL="0" distR="0" wp14:anchorId="0860E306" wp14:editId="13DAAC9F">
            <wp:extent cx="3333750" cy="825246"/>
            <wp:effectExtent l="0" t="0" r="0" b="0"/>
            <wp:docPr id="2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886" cy="8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2EBA" w14:textId="5CF1E4A2" w:rsidR="0055556B" w:rsidRPr="00F92F21" w:rsidRDefault="00E70A88">
      <w:pPr>
        <w:spacing w:after="0" w:line="473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 </w:t>
      </w:r>
    </w:p>
    <w:p w14:paraId="530A61B2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To whom it may concern, </w:t>
      </w:r>
    </w:p>
    <w:p w14:paraId="5052D87B" w14:textId="77777777" w:rsidR="0055556B" w:rsidRPr="00F92F21" w:rsidRDefault="00E70A88">
      <w:pPr>
        <w:spacing w:after="216" w:line="259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 </w:t>
      </w:r>
    </w:p>
    <w:p w14:paraId="1547D954" w14:textId="77777777" w:rsidR="0055556B" w:rsidRPr="00F92F21" w:rsidRDefault="00CF0487">
      <w:pPr>
        <w:spacing w:after="216" w:line="259" w:lineRule="auto"/>
        <w:ind w:left="0" w:right="67" w:firstLine="0"/>
        <w:jc w:val="center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b/>
          <w:sz w:val="22"/>
        </w:rPr>
        <w:t>Confirmation of hosting arrangements for b</w:t>
      </w:r>
      <w:r w:rsidR="00E70A88" w:rsidRPr="00F92F21">
        <w:rPr>
          <w:rFonts w:asciiTheme="minorHAnsi" w:hAnsiTheme="minorHAnsi"/>
          <w:b/>
          <w:sz w:val="22"/>
        </w:rPr>
        <w:t xml:space="preserve">uyers at IMEX </w:t>
      </w:r>
      <w:r w:rsidR="00855244" w:rsidRPr="00F92F21">
        <w:rPr>
          <w:rFonts w:asciiTheme="minorHAnsi" w:hAnsiTheme="minorHAnsi"/>
          <w:b/>
          <w:sz w:val="22"/>
        </w:rPr>
        <w:t>in Frankfurt</w:t>
      </w:r>
      <w:r w:rsidR="00E70A88" w:rsidRPr="00F92F21">
        <w:rPr>
          <w:rFonts w:asciiTheme="minorHAnsi" w:hAnsiTheme="minorHAnsi"/>
          <w:b/>
          <w:sz w:val="22"/>
        </w:rPr>
        <w:t xml:space="preserve"> </w:t>
      </w:r>
    </w:p>
    <w:p w14:paraId="00691B8D" w14:textId="77777777" w:rsidR="0055556B" w:rsidRPr="00F92F21" w:rsidRDefault="00E70A88">
      <w:pPr>
        <w:spacing w:after="216" w:line="259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 </w:t>
      </w:r>
    </w:p>
    <w:p w14:paraId="5B528DE5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>IMEX is owned and managed by Regent Exhibition</w:t>
      </w:r>
      <w:r w:rsidR="0071105C" w:rsidRPr="00F92F21">
        <w:rPr>
          <w:rFonts w:asciiTheme="minorHAnsi" w:hAnsiTheme="minorHAnsi"/>
          <w:sz w:val="22"/>
        </w:rPr>
        <w:t>s</w:t>
      </w:r>
      <w:r w:rsidRPr="00F92F21">
        <w:rPr>
          <w:rFonts w:asciiTheme="minorHAnsi" w:hAnsiTheme="minorHAnsi"/>
          <w:sz w:val="22"/>
        </w:rPr>
        <w:t xml:space="preserve"> Ltd.  </w:t>
      </w:r>
    </w:p>
    <w:p w14:paraId="091A6157" w14:textId="77777777" w:rsidR="0055556B" w:rsidRPr="00F92F21" w:rsidRDefault="00855244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>Buyers hosted to IMEX in Frankfurt</w:t>
      </w:r>
      <w:r w:rsidR="00E70A88" w:rsidRPr="00F92F21">
        <w:rPr>
          <w:rFonts w:asciiTheme="minorHAnsi" w:hAnsiTheme="minorHAnsi"/>
          <w:sz w:val="22"/>
        </w:rPr>
        <w:t xml:space="preserve"> have their flights, accommodation and ground transportation paid for by Regent Exhibition</w:t>
      </w:r>
      <w:r w:rsidR="0071105C" w:rsidRPr="00F92F21">
        <w:rPr>
          <w:rFonts w:asciiTheme="minorHAnsi" w:hAnsiTheme="minorHAnsi"/>
          <w:sz w:val="22"/>
        </w:rPr>
        <w:t>s</w:t>
      </w:r>
      <w:r w:rsidR="00E70A88" w:rsidRPr="00F92F21">
        <w:rPr>
          <w:rFonts w:asciiTheme="minorHAnsi" w:hAnsiTheme="minorHAnsi"/>
          <w:sz w:val="22"/>
        </w:rPr>
        <w:t xml:space="preserve"> Ltd. These ‘hosted buyers’ pass a set of qualification criteria based on their ability and potential to place meetings and conference business outside of their country.   </w:t>
      </w:r>
    </w:p>
    <w:p w14:paraId="5414EB9F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>Buyers are invited to atten</w:t>
      </w:r>
      <w:r w:rsidR="00855244" w:rsidRPr="00F92F21">
        <w:rPr>
          <w:rFonts w:asciiTheme="minorHAnsi" w:hAnsiTheme="minorHAnsi"/>
          <w:sz w:val="22"/>
        </w:rPr>
        <w:t xml:space="preserve">d IMEX </w:t>
      </w:r>
      <w:r w:rsidRPr="00F92F21">
        <w:rPr>
          <w:rFonts w:asciiTheme="minorHAnsi" w:hAnsiTheme="minorHAnsi"/>
          <w:sz w:val="22"/>
        </w:rPr>
        <w:t>by a network of ‘intermediaries’ many of whom are industry suppliers. Despite the i</w:t>
      </w:r>
      <w:r w:rsidR="00385AB7">
        <w:rPr>
          <w:rFonts w:asciiTheme="minorHAnsi" w:hAnsiTheme="minorHAnsi"/>
          <w:sz w:val="22"/>
        </w:rPr>
        <w:t>nvitation being issued by such intermediaries</w:t>
      </w:r>
      <w:r w:rsidRPr="00F92F21">
        <w:rPr>
          <w:rFonts w:asciiTheme="minorHAnsi" w:hAnsiTheme="minorHAnsi"/>
          <w:sz w:val="22"/>
        </w:rPr>
        <w:t xml:space="preserve"> the costs of the travel, accommodation and ground transportation are fully covered by Regent Exhibition</w:t>
      </w:r>
      <w:r w:rsidR="0071105C" w:rsidRPr="00F92F21">
        <w:rPr>
          <w:rFonts w:asciiTheme="minorHAnsi" w:hAnsiTheme="minorHAnsi"/>
          <w:sz w:val="22"/>
        </w:rPr>
        <w:t>s</w:t>
      </w:r>
      <w:r w:rsidRPr="00F92F21">
        <w:rPr>
          <w:rFonts w:asciiTheme="minorHAnsi" w:hAnsiTheme="minorHAnsi"/>
          <w:sz w:val="22"/>
        </w:rPr>
        <w:t xml:space="preserve"> Ltd, except if identified separately by the intermediary. </w:t>
      </w:r>
    </w:p>
    <w:p w14:paraId="41A00243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>Hosted buy</w:t>
      </w:r>
      <w:r w:rsidR="00855244" w:rsidRPr="00F92F21">
        <w:rPr>
          <w:rFonts w:asciiTheme="minorHAnsi" w:hAnsiTheme="minorHAnsi"/>
          <w:sz w:val="22"/>
        </w:rPr>
        <w:t xml:space="preserve">ers who attend IMEX </w:t>
      </w:r>
      <w:r w:rsidR="007D7268" w:rsidRPr="00F92F21">
        <w:rPr>
          <w:rFonts w:asciiTheme="minorHAnsi" w:hAnsiTheme="minorHAnsi"/>
          <w:sz w:val="22"/>
        </w:rPr>
        <w:t>are recommended</w:t>
      </w:r>
      <w:r w:rsidRPr="00F92F21">
        <w:rPr>
          <w:rFonts w:asciiTheme="minorHAnsi" w:hAnsiTheme="minorHAnsi"/>
          <w:sz w:val="22"/>
        </w:rPr>
        <w:t xml:space="preserve"> to make a m</w:t>
      </w:r>
      <w:r w:rsidR="007D7268" w:rsidRPr="00F92F21">
        <w:rPr>
          <w:rFonts w:asciiTheme="minorHAnsi" w:hAnsiTheme="minorHAnsi"/>
          <w:sz w:val="22"/>
        </w:rPr>
        <w:t>inimum number of appointments (6-8</w:t>
      </w:r>
      <w:r w:rsidRPr="00F92F21">
        <w:rPr>
          <w:rFonts w:asciiTheme="minorHAnsi" w:hAnsiTheme="minorHAnsi"/>
          <w:sz w:val="22"/>
        </w:rPr>
        <w:t>) per day of attendance at the show with exhibitors of their choice. Hosted buyers have no business obligations ove</w:t>
      </w:r>
      <w:r w:rsidR="00855244" w:rsidRPr="00F92F21">
        <w:rPr>
          <w:rFonts w:asciiTheme="minorHAnsi" w:hAnsiTheme="minorHAnsi"/>
          <w:sz w:val="22"/>
        </w:rPr>
        <w:t xml:space="preserve">r and above this to IMEX </w:t>
      </w:r>
      <w:r w:rsidRPr="00F92F21">
        <w:rPr>
          <w:rFonts w:asciiTheme="minorHAnsi" w:hAnsiTheme="minorHAnsi"/>
          <w:sz w:val="22"/>
        </w:rPr>
        <w:t>or Regent Exhibition</w:t>
      </w:r>
      <w:r w:rsidR="0071105C" w:rsidRPr="00F92F21">
        <w:rPr>
          <w:rFonts w:asciiTheme="minorHAnsi" w:hAnsiTheme="minorHAnsi"/>
          <w:sz w:val="22"/>
        </w:rPr>
        <w:t>s</w:t>
      </w:r>
      <w:r w:rsidRPr="00F92F21">
        <w:rPr>
          <w:rFonts w:asciiTheme="minorHAnsi" w:hAnsiTheme="minorHAnsi"/>
          <w:sz w:val="22"/>
        </w:rPr>
        <w:t xml:space="preserve"> Ltd.  </w:t>
      </w:r>
    </w:p>
    <w:p w14:paraId="32839377" w14:textId="77777777" w:rsidR="0055556B" w:rsidRPr="00F92F21" w:rsidRDefault="00E70A88">
      <w:pPr>
        <w:spacing w:after="159"/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Yours sincerely, </w:t>
      </w:r>
    </w:p>
    <w:p w14:paraId="7CBD0EDF" w14:textId="77777777" w:rsidR="0055556B" w:rsidRPr="00F92F21" w:rsidRDefault="00E70A88">
      <w:pPr>
        <w:spacing w:after="177" w:line="259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noProof/>
          <w:sz w:val="22"/>
        </w:rPr>
        <w:drawing>
          <wp:inline distT="0" distB="0" distL="0" distR="0" wp14:anchorId="4BCF0F72" wp14:editId="61906C5E">
            <wp:extent cx="1409700" cy="4476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F21">
        <w:rPr>
          <w:rFonts w:asciiTheme="minorHAnsi" w:hAnsiTheme="minorHAnsi"/>
          <w:sz w:val="22"/>
        </w:rPr>
        <w:t xml:space="preserve"> </w:t>
      </w:r>
    </w:p>
    <w:p w14:paraId="7BF08E9F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Carina Bauer </w:t>
      </w:r>
    </w:p>
    <w:p w14:paraId="569C75A7" w14:textId="77777777" w:rsidR="0055556B" w:rsidRPr="00F92F21" w:rsidRDefault="00E70A88">
      <w:pPr>
        <w:ind w:left="-5" w:right="19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>CEO, Regent Exhibition</w:t>
      </w:r>
      <w:r w:rsidR="0071105C" w:rsidRPr="00F92F21">
        <w:rPr>
          <w:rFonts w:asciiTheme="minorHAnsi" w:hAnsiTheme="minorHAnsi"/>
          <w:sz w:val="22"/>
        </w:rPr>
        <w:t>s</w:t>
      </w:r>
      <w:r w:rsidRPr="00F92F21">
        <w:rPr>
          <w:rFonts w:asciiTheme="minorHAnsi" w:hAnsiTheme="minorHAnsi"/>
          <w:sz w:val="22"/>
        </w:rPr>
        <w:t xml:space="preserve"> Ltd   </w:t>
      </w:r>
    </w:p>
    <w:p w14:paraId="4B5A664D" w14:textId="77777777" w:rsidR="0055556B" w:rsidRPr="00F92F21" w:rsidRDefault="00E70A88">
      <w:pPr>
        <w:spacing w:after="223" w:line="259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hAnsiTheme="minorHAnsi"/>
          <w:sz w:val="22"/>
        </w:rPr>
        <w:t xml:space="preserve"> </w:t>
      </w:r>
    </w:p>
    <w:p w14:paraId="6613819F" w14:textId="77777777" w:rsidR="0055556B" w:rsidRPr="00F92F21" w:rsidRDefault="00E70A88">
      <w:pPr>
        <w:spacing w:after="0" w:line="259" w:lineRule="auto"/>
        <w:ind w:left="0" w:firstLine="0"/>
        <w:rPr>
          <w:rFonts w:asciiTheme="minorHAnsi" w:hAnsiTheme="minorHAnsi"/>
          <w:sz w:val="22"/>
        </w:rPr>
      </w:pPr>
      <w:r w:rsidRPr="00F92F21">
        <w:rPr>
          <w:rFonts w:asciiTheme="minorHAnsi" w:eastAsia="Calibri" w:hAnsiTheme="minorHAnsi" w:cs="Calibri"/>
          <w:sz w:val="24"/>
        </w:rPr>
        <w:t xml:space="preserve"> </w:t>
      </w:r>
    </w:p>
    <w:sectPr w:rsidR="0055556B" w:rsidRPr="00F92F21">
      <w:pgSz w:w="11906" w:h="16838"/>
      <w:pgMar w:top="1440" w:right="13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B"/>
    <w:rsid w:val="001E77E3"/>
    <w:rsid w:val="00343261"/>
    <w:rsid w:val="00385AB7"/>
    <w:rsid w:val="00391A73"/>
    <w:rsid w:val="004451AD"/>
    <w:rsid w:val="005429E7"/>
    <w:rsid w:val="00554585"/>
    <w:rsid w:val="0055556B"/>
    <w:rsid w:val="005A614A"/>
    <w:rsid w:val="0071105C"/>
    <w:rsid w:val="0072785F"/>
    <w:rsid w:val="007D7268"/>
    <w:rsid w:val="00855244"/>
    <w:rsid w:val="008617A6"/>
    <w:rsid w:val="00AE3888"/>
    <w:rsid w:val="00CF0487"/>
    <w:rsid w:val="00D125F0"/>
    <w:rsid w:val="00E70A88"/>
    <w:rsid w:val="00F90CD6"/>
    <w:rsid w:val="00F92F21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8626"/>
  <w15:docId w15:val="{F8216567-574C-4D88-8920-96D422F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68" w:lineRule="auto"/>
      <w:ind w:left="10" w:hanging="10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85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5F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Carina.Bauer</dc:creator>
  <cp:lastModifiedBy>Gillian Heath</cp:lastModifiedBy>
  <cp:revision>5</cp:revision>
  <cp:lastPrinted>2015-07-20T10:10:00Z</cp:lastPrinted>
  <dcterms:created xsi:type="dcterms:W3CDTF">2021-12-02T10:58:00Z</dcterms:created>
  <dcterms:modified xsi:type="dcterms:W3CDTF">2022-11-25T11:39:00Z</dcterms:modified>
</cp:coreProperties>
</file>